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contextualSpacing/>
      </w:pPr>
      <w:r>
        <w:rPr>
          <w:sz w:val="26"/>
          <w:szCs w:val="26"/>
          <w:b w:val="1"/>
          <w:bCs w:val="1"/>
        </w:rPr>
        <w:t xml:space="preserve">ДОГОВОРА </w:t>
      </w:r>
      <w:r>
        <w:rPr>
          <w:sz w:val="26"/>
          <w:szCs w:val="26"/>
          <w:b w:val="1"/>
          <w:bCs w:val="1"/>
        </w:rPr>
        <w:t xml:space="preserve">ПОСТАВКИ </w:t>
      </w:r>
      <w:r>
        <w:rPr>
          <w:sz w:val="26"/>
          <w:szCs w:val="26"/>
          <w:b w:val="1"/>
          <w:bCs w:val="1"/>
        </w:rPr>
        <w:t xml:space="preserve">№</w:t>
      </w:r>
      <w:r>
        <w:rPr>
          <w:sz w:val="26"/>
          <w:szCs w:val="26"/>
          <w:b w:val="1"/>
          <w:bCs w:val="1"/>
        </w:rPr>
        <w:t xml:space="preserve"> 505136</w:t>
      </w:r>
    </w:p>
    <w:p>
      <w:pPr>
        <w:rPr/>
      </w:pPr>
    </w:p>
    <w:p>
      <w:pPr>
        <w:jc w:val="center"/>
      </w:pPr>
      <w:r>
        <w:rPr>
          <w:sz w:val="26"/>
          <w:szCs w:val="26"/>
        </w:rPr>
        <w:t xml:space="preserve">г. Карачаевск </w:t>
      </w:r>
      <w:r>
        <w:rPr>
          <w:sz w:val="26"/>
          <w:szCs w:val="26"/>
        </w:rPr>
        <w:t xml:space="preserve">_____________</w:t>
      </w:r>
      <w:r>
        <w:rPr>
          <w:sz w:val="26"/>
          <w:szCs w:val="26"/>
        </w:rPr>
        <w:t xml:space="preserve">                           </w:t>
      </w:r>
      <w:r>
        <w:rPr>
          <w:sz w:val="26"/>
          <w:szCs w:val="26"/>
        </w:rPr>
        <w:t xml:space="preserve">                            06.10.</w:t>
      </w:r>
      <w:r>
        <w:rPr>
          <w:sz w:val="26"/>
          <w:szCs w:val="26"/>
        </w:rPr>
        <w:t xml:space="preserve">202</w:t>
      </w:r>
      <w:r>
        <w:rPr>
          <w:sz w:val="26"/>
          <w:szCs w:val="26"/>
        </w:rPr>
        <w:t xml:space="preserve">5</w:t>
      </w:r>
      <w:r>
        <w:rPr>
          <w:sz w:val="26"/>
          <w:szCs w:val="26"/>
        </w:rPr>
        <w:t xml:space="preserve"> г.</w:t>
      </w:r>
    </w:p>
    <w:p>
      <w:pPr>
        <w:rPr/>
      </w:pPr>
    </w:p>
    <w:p>
      <w:pPr>
        <w:pStyle w:val="3204"/>
        <w:jc w:val="both"/>
        <w:spacing w:before="0" w:after="0"/>
      </w:pPr>
      <w:r>
        <w:rPr/>
        <w:t xml:space="preserve">	</w:t>
      </w:r>
      <w:r>
        <w:rPr>
          <w:sz w:val="20"/>
          <w:szCs w:val="20"/>
        </w:rPr>
        <w:t xml:space="preserve">Индивидуальный предприниматель Пальчиков Павел Сергеевич</w:t>
      </w:r>
      <w:r>
        <w:rPr>
          <w:sz w:val="20"/>
          <w:szCs w:val="20"/>
        </w:rPr>
        <w:t xml:space="preserve">,</w:t>
      </w:r>
      <w:r>
        <w:rPr>
          <w:sz w:val="20"/>
          <w:szCs w:val="20"/>
        </w:rPr>
        <w:t xml:space="preserve"> действующий на основании свидетельства</w:t>
      </w:r>
      <w:r>
        <w:rPr>
          <w:sz w:val="20"/>
          <w:szCs w:val="20"/>
        </w:rPr>
        <w:t xml:space="preserve"> о ЕГРИП № 309744801900062, от 19 января 2009 года</w:t>
      </w:r>
      <w:r>
        <w:rPr>
          <w:sz w:val="20"/>
          <w:szCs w:val="20"/>
        </w:rPr>
        <w:t xml:space="preserve">, </w:t>
      </w:r>
      <w:r>
        <w:rPr>
          <w:sz w:val="20"/>
          <w:szCs w:val="20"/>
        </w:rPr>
        <w:t xml:space="preserve">именуемое в дальнейшем «Поставщик», с одной стороны, и ООО "Тепло </w:t>
      </w:r>
      <w:r>
        <w:rPr>
          <w:sz w:val="20"/>
          <w:szCs w:val="20"/>
        </w:rPr>
        <w:t xml:space="preserve">Энерго</w:t>
      </w:r>
      <w:r>
        <w:rPr>
          <w:sz w:val="20"/>
          <w:szCs w:val="20"/>
        </w:rPr>
        <w:t xml:space="preserve"> Сети ", в лице Генерального директора </w:t>
      </w:r>
      <w:r>
        <w:rPr>
          <w:sz w:val="20"/>
          <w:szCs w:val="20"/>
        </w:rPr>
        <w:t xml:space="preserve">Шорова</w:t>
      </w:r>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w:t>
      </w:r>
      <w:r>
        <w:rPr>
          <w:sz w:val="20"/>
          <w:szCs w:val="20"/>
        </w:rPr>
        <w:t xml:space="preserve">в соответствии с протоколом </w:t>
      </w:r>
      <w:r>
        <w:rPr>
          <w:sz w:val="20"/>
          <w:szCs w:val="20"/>
        </w:rPr>
        <w:t xml:space="preserve">№ 32515192458 от 23.09.</w:t>
      </w:r>
      <w:r>
        <w:rPr>
          <w:sz w:val="20"/>
          <w:szCs w:val="20"/>
        </w:rPr>
        <w:t xml:space="preserve">202</w:t>
      </w:r>
      <w:r>
        <w:rPr>
          <w:sz w:val="20"/>
          <w:szCs w:val="20"/>
        </w:rPr>
        <w:t xml:space="preserve">5</w:t>
      </w:r>
      <w:r>
        <w:rPr>
          <w:sz w:val="20"/>
          <w:szCs w:val="20"/>
        </w:rPr>
        <w:t xml:space="preserve">г.</w:t>
      </w:r>
      <w:r>
        <w:rPr>
          <w:sz w:val="20"/>
          <w:szCs w:val="20"/>
        </w:rPr>
        <w:t xml:space="preserve"> </w:t>
      </w:r>
      <w:r>
        <w:rPr>
          <w:sz w:val="20"/>
          <w:szCs w:val="20"/>
        </w:rPr>
        <w:t xml:space="preserve">заключили настоящий договор о нижеследующем:</w:t>
      </w:r>
    </w:p>
    <w:p>
      <w:pPr>
        <w:rPr/>
      </w:pPr>
    </w:p>
    <w:p>
      <w:pPr>
        <w:pStyle w:val="ab"/>
        <w:jc w:val="center"/>
        <w:numPr>
          <w:ilvl w:val="0"/>
          <w:numId w:val="3"/>
        </w:numPr>
      </w:pPr>
      <w:r>
        <w:rPr>
          <w:sz w:val="20"/>
          <w:szCs w:val="20"/>
        </w:rPr>
        <w:t xml:space="preserve">ПРЕДМЕТ ДОГОВОРА</w:t>
      </w:r>
    </w:p>
    <w:p>
      <w:pPr>
        <w:rPr>
          <w:rStyle w:val="ab"/>
        </w:rPr>
      </w:pPr>
    </w:p>
    <w:tbl>
      <w:tblGrid>
        <w:gridCol w:w="172" w:type="dxa"/>
        <w:gridCol w:w="10089" w:type="dxa"/>
      </w:tblGrid>
      <w:tblPr>
        <w:tblStyle w:val="TableStyle0"/>
      </w:tblPr>
      <w:tr>
        <w:trPr>
          <w:cantSplit w:val="1"/>
        </w:trPr>
        <w:tc>
          <w:tcPr>
            <w:tcW w:w="172" w:type="dxa"/>
            <w:vAlign w:val="bottom"/>
            <w:shd w:val="clear" w:fill="auto"/>
          </w:tcPr>
          <w:p>
            <w:pPr>
              <w:rPr/>
            </w:pPr>
          </w:p>
        </w:tc>
        <w:tc>
          <w:tcPr>
            <w:tcW w:w="10089" w:type="dxa"/>
            <w:vAlign w:val="bottom"/>
          </w:tcPr>
          <w:p>
            <w:pPr>
              <w:jc w:val="both"/>
            </w:pPr>
            <w:r>
              <w:rPr>
                <w:sz w:val="20"/>
                <w:szCs w:val="20"/>
              </w:rPr>
              <w:t xml:space="preserve">1.1. </w:t>
            </w:r>
            <w:r>
              <w:rPr>
                <w:sz w:val="20"/>
                <w:szCs w:val="20"/>
              </w:rPr>
              <w:t xml:space="preserve">По настоящему Договору, Поставщик обязуется передать в собственность, а Покупатель обязуется оплатить и принять следующие товары:</w:t>
            </w:r>
          </w:p>
          <w:p>
            <w:pPr>
              <w:rPr>
                <w:rStyle w:val="ab"/>
              </w:rPr>
            </w:pPr>
          </w:p>
          <w:p>
            <w:pPr>
              <w:rPr/>
            </w:pPr>
          </w:p>
          <w:p>
            <w:pPr>
              <w:jc w:val="both"/>
            </w:pPr>
            <w:r>
              <w:rPr>
                <w:sz w:val="20"/>
                <w:szCs w:val="20"/>
              </w:rPr>
              <w:t xml:space="preserve">1.2.   Технические характеристики, сроки, порядок и условия отгрузки товара указываются в спецификации, а также иных документах, являющихся составной и неотъемлемой частью настоящего Договора. </w:t>
            </w:r>
          </w:p>
        </w:tc>
      </w:tr>
      <w:tr>
        <w:trPr>
          <w:cantSplit w:val="1"/>
        </w:trPr>
        <w:tc>
          <w:tcPr>
            <w:tcW w:w="172" w:type="dxa"/>
            <w:vAlign w:val="bottom"/>
            <w:shd w:val="clear" w:fill="auto"/>
          </w:tcPr>
          <w:p>
            <w:pPr>
              <w:rPr/>
            </w:pPr>
          </w:p>
        </w:tc>
        <w:tc>
          <w:tcPr>
            <w:tcW w:w="10089" w:type="dxa"/>
          </w:tcPr>
          <w:p>
            <w:pPr>
              <w:rPr/>
            </w:pPr>
          </w:p>
        </w:tc>
      </w:tr>
    </w:tbl>
    <w:p>
      <w:pPr>
        <w:pStyle w:val="ab"/>
        <w:jc w:val="center"/>
        <w:numPr>
          <w:ilvl w:val="0"/>
          <w:numId w:val="3"/>
        </w:numPr>
      </w:pPr>
      <w:r>
        <w:rPr>
          <w:sz w:val="20"/>
          <w:szCs w:val="20"/>
        </w:rPr>
        <w:t xml:space="preserve">ПОРЯДОК РАСЧЕТОВ</w:t>
      </w:r>
    </w:p>
    <w:p>
      <w:pPr>
        <w:rPr>
          <w:rStyle w:val="ab"/>
        </w:rPr>
      </w:pPr>
    </w:p>
    <w:tbl>
      <w:tblGrid>
        <w:gridCol w:w="9923" w:type="dxa"/>
      </w:tblGrid>
      <w:tblPr>
        <w:tblStyle w:val="TableStyle0"/>
      </w:tblPr>
      <w:tr>
        <w:trPr>
          <w:cantSplit w:val="1"/>
        </w:trPr>
        <w:tc>
          <w:tcPr>
            <w:tcW w:w="9923" w:type="dxa"/>
            <w:vAlign w:val="bottom"/>
            <w:shd w:val="clear" w:fill="auto"/>
          </w:tcPr>
          <w:p>
            <w:pPr>
              <w:jc w:val="both"/>
            </w:pPr>
            <w:r>
              <w:rPr>
                <w:sz w:val="20"/>
                <w:szCs w:val="20"/>
              </w:rPr>
              <w:t xml:space="preserve">    2.1. </w:t>
            </w:r>
            <w:r>
              <w:rPr>
                <w:sz w:val="20"/>
                <w:szCs w:val="20"/>
              </w:rPr>
              <w:t xml:space="preserve">Общая стоимость услуг, оказываемых по настоящему Договору, составляет </w:t>
            </w:r>
            <w:r>
              <w:rPr>
                <w:sz w:val="20"/>
                <w:szCs w:val="20"/>
              </w:rPr>
              <w:t xml:space="preserve">418000</w:t>
            </w:r>
            <w:r>
              <w:rPr>
                <w:sz w:val="20"/>
                <w:szCs w:val="20"/>
              </w:rPr>
              <w:t xml:space="preserve"> (</w:t>
            </w:r>
            <w:r>
              <w:rPr>
                <w:sz w:val="20"/>
                <w:szCs w:val="20"/>
              </w:rPr>
              <w:t xml:space="preserve">Четыреста восемнадцать тысяч) рублей</w:t>
            </w:r>
            <w:r>
              <w:rPr>
                <w:sz w:val="20"/>
                <w:szCs w:val="20"/>
              </w:rPr>
              <w:t xml:space="preserve"> 00 копеек</w:t>
            </w:r>
            <w:r>
              <w:rPr>
                <w:sz w:val="20"/>
                <w:szCs w:val="20"/>
              </w:rPr>
              <w:t xml:space="preserve">.</w:t>
            </w:r>
            <w:r>
              <w:rPr>
                <w:sz w:val="20"/>
                <w:szCs w:val="20"/>
              </w:rPr>
              <w:t xml:space="preserve">, </w:t>
            </w:r>
            <w:r>
              <w:rPr>
                <w:sz w:val="20"/>
                <w:szCs w:val="20"/>
              </w:rPr>
              <w:t xml:space="preserve">НДС</w:t>
            </w:r>
            <w:r>
              <w:rPr>
                <w:sz w:val="20"/>
                <w:szCs w:val="20"/>
              </w:rPr>
              <w:t xml:space="preserve"> не облагается</w:t>
            </w:r>
            <w:r>
              <w:rPr>
                <w:sz w:val="20"/>
                <w:szCs w:val="20"/>
              </w:rPr>
              <w:t xml:space="preserve">.</w:t>
            </w:r>
            <w:r>
              <w:rPr>
                <w:sz w:val="20"/>
                <w:szCs w:val="20"/>
              </w:rPr>
              <w:t xml:space="preserve">    </w:t>
            </w:r>
          </w:p>
          <w:p>
            <w:pPr>
              <w:jc w:val="both"/>
            </w:pPr>
            <w:r>
              <w:rPr>
                <w:sz w:val="20"/>
                <w:szCs w:val="20"/>
              </w:rPr>
              <w:t xml:space="preserve">    </w:t>
            </w:r>
            <w:r>
              <w:rPr>
                <w:sz w:val="20"/>
                <w:szCs w:val="20"/>
              </w:rPr>
              <w:t xml:space="preserve">2.</w:t>
            </w:r>
            <w:r>
              <w:rPr>
                <w:sz w:val="20"/>
                <w:szCs w:val="20"/>
              </w:rPr>
              <w:t xml:space="preserve">2</w:t>
            </w:r>
            <w:r>
              <w:rPr>
                <w:sz w:val="20"/>
                <w:szCs w:val="20"/>
              </w:rPr>
              <w:t xml:space="preserve">.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trPr>
          <w:cantSplit w:val="1"/>
        </w:trPr>
        <w:tc>
          <w:tcPr>
            <w:tcW w:w="9923" w:type="dxa"/>
            <w:vAlign w:val="bottom"/>
            <w:shd w:val="clear" w:fill="auto"/>
          </w:tcPr>
          <w:p>
            <w:pPr>
              <w:jc w:val="both"/>
            </w:pPr>
            <w:r>
              <w:rPr>
                <w:sz w:val="20"/>
                <w:szCs w:val="20"/>
              </w:rPr>
              <w:t xml:space="preserve">    2.</w:t>
            </w:r>
            <w:r>
              <w:rPr>
                <w:sz w:val="20"/>
                <w:szCs w:val="20"/>
              </w:rPr>
              <w:t xml:space="preserve">3</w:t>
            </w:r>
            <w:r>
              <w:rPr>
                <w:sz w:val="20"/>
                <w:szCs w:val="20"/>
              </w:rPr>
              <w:t xml:space="preserve">. Покупатель осуществляет оплату т</w:t>
            </w:r>
            <w:r>
              <w:rPr>
                <w:sz w:val="20"/>
                <w:szCs w:val="20"/>
              </w:rPr>
              <w:t xml:space="preserve">овара на условиях 50% предварительной оплаты и 50 % при Товара</w:t>
            </w:r>
            <w:r>
              <w:rPr>
                <w:sz w:val="20"/>
                <w:szCs w:val="20"/>
              </w:rPr>
              <w:t xml:space="preserve"> на склад Покупателя</w:t>
            </w:r>
            <w:r>
              <w:rPr>
                <w:sz w:val="20"/>
                <w:szCs w:val="20"/>
              </w:rPr>
              <w:t xml:space="preserve"> путем перечисления денежных средств на расчетный счет Поставщика. При этом ссылка в платежном поручении на номер счета обязательна. </w:t>
            </w:r>
          </w:p>
        </w:tc>
      </w:tr>
      <w:tr>
        <w:trPr>
          <w:cantSplit w:val="1"/>
        </w:trPr>
        <w:tc>
          <w:tcPr>
            <w:tcW w:w="9923" w:type="dxa"/>
            <w:vAlign w:val="bottom"/>
            <w:shd w:val="clear" w:fill="auto"/>
          </w:tcPr>
          <w:p>
            <w:pPr>
              <w:jc w:val="both"/>
            </w:pPr>
            <w:r>
              <w:rPr>
                <w:sz w:val="20"/>
                <w:szCs w:val="20"/>
              </w:rPr>
              <w:t xml:space="preserve">    2.</w:t>
            </w:r>
            <w:r>
              <w:rPr>
                <w:sz w:val="20"/>
                <w:szCs w:val="20"/>
              </w:rPr>
              <w:t xml:space="preserve">4</w:t>
            </w:r>
            <w:r>
              <w:rPr>
                <w:sz w:val="20"/>
                <w:szCs w:val="20"/>
              </w:rPr>
              <w:t xml:space="preserve">.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pPr>
              <w:jc w:val="both"/>
            </w:pPr>
            <w:r>
              <w:rPr>
                <w:sz w:val="20"/>
                <w:szCs w:val="20"/>
              </w:rPr>
              <w:t xml:space="preserve">0% - с первого дня поставки и до даты, указанной в п. 2.2. настоящего договора;</w:t>
            </w:r>
          </w:p>
          <w:p>
            <w:pPr>
              <w:jc w:val="both"/>
            </w:pPr>
            <w:r>
              <w:rPr>
                <w:sz w:val="20"/>
                <w:szCs w:val="20"/>
              </w:rPr>
              <w:t xml:space="preserve">15% годовых с даты оплаты, следующей за датой, указанной в п. 2.2. настоящего договора;</w:t>
            </w:r>
          </w:p>
          <w:p>
            <w:pPr>
              <w:jc w:val="both"/>
            </w:pPr>
            <w:r>
              <w:rPr>
                <w:sz w:val="20"/>
                <w:szCs w:val="20"/>
              </w:rPr>
              <w:t xml:space="preserve">22% годовых через неделю после даты, указанной в п. 2.2. настоящего договора.</w:t>
            </w:r>
          </w:p>
          <w:p>
            <w:pPr>
              <w:jc w:val="both"/>
            </w:pPr>
            <w:r>
              <w:rPr>
                <w:sz w:val="20"/>
                <w:szCs w:val="20"/>
              </w:rPr>
              <w:t xml:space="preserve">Проценты уплачиваются одновременно с основным платежом</w:t>
            </w:r>
          </w:p>
        </w:tc>
      </w:tr>
      <w:tr>
        <w:trPr>
          <w:cantSplit w:val="1"/>
        </w:trPr>
        <w:tc>
          <w:tcPr>
            <w:tcW w:w="9923" w:type="dxa"/>
            <w:vAlign w:val="bottom"/>
            <w:shd w:val="clear" w:fill="auto"/>
          </w:tcPr>
          <w:p>
            <w:pPr>
              <w:jc w:val="both"/>
            </w:pPr>
            <w:r>
              <w:rPr>
                <w:sz w:val="20"/>
                <w:szCs w:val="20"/>
              </w:rPr>
              <w:t xml:space="preserve">    2.</w:t>
            </w:r>
            <w:r>
              <w:rPr>
                <w:sz w:val="20"/>
                <w:szCs w:val="20"/>
              </w:rPr>
              <w:t xml:space="preserve">5</w:t>
            </w:r>
            <w:r>
              <w:rPr>
                <w:sz w:val="20"/>
                <w:szCs w:val="20"/>
              </w:rPr>
              <w:t xml:space="preserve">. Моментом исполнения обязательств Покупателя по оплате Товара признается дата зачисления денежных средств на расчетный счет Поставщика. </w:t>
            </w:r>
          </w:p>
        </w:tc>
      </w:tr>
      <w:tr>
        <w:trPr>
          <w:cantSplit w:val="1"/>
        </w:trPr>
        <w:tc>
          <w:tcPr>
            <w:tcW w:w="9923" w:type="dxa"/>
            <w:vAlign w:val="bottom"/>
            <w:shd w:val="clear" w:fill="auto"/>
          </w:tcPr>
          <w:p>
            <w:pPr>
              <w:jc w:val="both"/>
            </w:pPr>
            <w:r>
              <w:rPr>
                <w:sz w:val="20"/>
                <w:szCs w:val="20"/>
              </w:rPr>
              <w:t xml:space="preserve">    2.</w:t>
            </w:r>
            <w:r>
              <w:rPr>
                <w:sz w:val="20"/>
                <w:szCs w:val="20"/>
              </w:rPr>
              <w:t xml:space="preserve">6</w:t>
            </w:r>
            <w:r>
              <w:rPr>
                <w:sz w:val="20"/>
                <w:szCs w:val="20"/>
              </w:rPr>
              <w:t xml:space="preserve">. До </w:t>
            </w:r>
            <w:r>
              <w:rPr>
                <w:sz w:val="20"/>
                <w:szCs w:val="20"/>
              </w:rPr>
              <w:t xml:space="preserve">30 декабря </w:t>
            </w:r>
            <w:r>
              <w:rPr>
                <w:sz w:val="20"/>
                <w:szCs w:val="20"/>
              </w:rPr>
              <w:t xml:space="preserve">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trPr/>
        <w:tc>
          <w:tcPr>
            <w:tcW w:w="9923" w:type="dxa"/>
          </w:tcPr>
          <w:p>
            <w:pPr>
              <w:rPr/>
            </w:pPr>
          </w:p>
          <w:p>
            <w:pPr>
              <w:jc w:val="center"/>
            </w:pPr>
            <w:r>
              <w:rPr>
                <w:sz w:val="20"/>
                <w:szCs w:val="20"/>
              </w:rPr>
              <w:t xml:space="preserve">3. СРОКИ И УСЛОВИЯ ПОСТАВКИ</w:t>
            </w:r>
          </w:p>
        </w:tc>
      </w:tr>
      <w:tr>
        <w:trPr/>
        <w:tc>
          <w:tcPr>
            <w:tcW w:w="9923" w:type="dxa"/>
          </w:tcPr>
          <w:p>
            <w:pPr>
              <w:rPr/>
            </w:pPr>
          </w:p>
        </w:tc>
      </w:tr>
      <w:tr>
        <w:trPr/>
        <w:tc>
          <w:tcPr>
            <w:tcW w:w="9923" w:type="dxa"/>
          </w:tcPr>
          <w:p>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trPr/>
        <w:tc>
          <w:tcPr>
            <w:tcW w:w="9923" w:type="dxa"/>
          </w:tcPr>
          <w:p>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trPr/>
        <w:tc>
          <w:tcPr>
            <w:tcW w:w="9923" w:type="dxa"/>
          </w:tcPr>
          <w:p>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trPr/>
        <w:tc>
          <w:tcPr>
            <w:tcW w:w="9923" w:type="dxa"/>
          </w:tcPr>
          <w:p>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pPr>
              <w:jc w:val="both"/>
            </w:pPr>
            <w:r>
              <w:rPr>
                <w:sz w:val="20"/>
                <w:szCs w:val="20"/>
              </w:rPr>
              <w:t xml:space="preserve">Покупателя о готовности товара к отгрузке.</w:t>
            </w:r>
          </w:p>
        </w:tc>
      </w:tr>
      <w:tr>
        <w:trPr/>
        <w:tc>
          <w:tcPr>
            <w:tcW w:w="9923" w:type="dxa"/>
          </w:tcPr>
          <w:p>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trPr/>
        <w:tc>
          <w:tcPr>
            <w:tcW w:w="9923" w:type="dxa"/>
          </w:tcPr>
          <w:p>
            <w:pPr>
              <w:jc w:val="both"/>
            </w:pPr>
            <w:r>
              <w:rPr>
                <w:sz w:val="20"/>
                <w:szCs w:val="20"/>
              </w:rPr>
              <w:t xml:space="preserve">    3.6. Погрузка товара осуществляется силами Поставщика, разгрузка – силами Покупателя.  </w:t>
            </w:r>
          </w:p>
        </w:tc>
      </w:tr>
      <w:tr>
        <w:trPr>
          <w:cantSplit w:val="1"/>
        </w:trPr>
        <w:tc>
          <w:tcPr>
            <w:tcW w:w="9923" w:type="dxa"/>
            <w:vAlign w:val="bottom"/>
            <w:shd w:val="clear" w:fill="auto"/>
          </w:tcPr>
          <w:p>
            <w:pPr>
              <w:rPr/>
            </w:pPr>
          </w:p>
          <w:p>
            <w:pPr>
              <w:jc w:val="center"/>
            </w:pPr>
            <w:r>
              <w:rPr>
                <w:sz w:val="20"/>
                <w:szCs w:val="20"/>
              </w:rPr>
              <w:t xml:space="preserve">4. КАЧЕСТВО ПРОДУКЦИИ</w:t>
            </w:r>
          </w:p>
        </w:tc>
      </w:tr>
      <w:tr>
        <w:trPr>
          <w:trHeight w:val="235" w:hRule="atLeast"/>
          <w:cantSplit w:val="1"/>
        </w:trPr>
        <w:tc>
          <w:tcPr>
            <w:tcW w:w="9923" w:type="dxa"/>
            <w:vAlign w:val="bottom"/>
            <w:shd w:val="clear" w:fill="auto"/>
          </w:tcPr>
          <w:p>
            <w:pPr>
              <w:rPr/>
            </w:pPr>
          </w:p>
        </w:tc>
      </w:tr>
      <w:tr>
        <w:trPr>
          <w:cantSplit w:val="1"/>
        </w:trPr>
        <w:tc>
          <w:tcPr>
            <w:tcW w:w="9923" w:type="dxa"/>
            <w:vAlign w:val="bottom"/>
            <w:shd w:val="clear" w:fill="auto"/>
          </w:tcPr>
          <w:p>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trPr>
          <w:cantSplit w:val="1"/>
        </w:trPr>
        <w:tc>
          <w:tcPr>
            <w:tcW w:w="9923" w:type="dxa"/>
            <w:vAlign w:val="bottom"/>
            <w:shd w:val="clear" w:fill="auto"/>
          </w:tcPr>
          <w:p>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trPr>
          <w:cantSplit w:val="1"/>
        </w:trPr>
        <w:tc>
          <w:tcPr>
            <w:tcW w:w="9923" w:type="dxa"/>
            <w:vAlign w:val="bottom"/>
            <w:shd w:val="clear" w:fill="auto"/>
          </w:tcPr>
          <w:p>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trPr>
          <w:cantSplit w:val="1"/>
        </w:trPr>
        <w:tc>
          <w:tcPr>
            <w:tcW w:w="9923" w:type="dxa"/>
            <w:vAlign w:val="bottom"/>
            <w:shd w:val="clear" w:fill="auto"/>
          </w:tcPr>
          <w:p>
            <w:pPr>
              <w:jc w:val="both"/>
            </w:pPr>
            <w:r>
              <w:rPr>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trPr>
          <w:cantSplit w:val="1"/>
        </w:trPr>
        <w:tc>
          <w:tcPr>
            <w:tcW w:w="9923" w:type="dxa"/>
            <w:vAlign w:val="bottom"/>
            <w:shd w:val="clear" w:fill="auto"/>
          </w:tcPr>
          <w:p>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trPr>
          <w:cantSplit w:val="1"/>
        </w:trPr>
        <w:tc>
          <w:tcPr>
            <w:tcW w:w="9923" w:type="dxa"/>
            <w:vAlign w:val="bottom"/>
            <w:shd w:val="clear" w:fill="auto"/>
          </w:tcPr>
          <w:p>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trPr/>
        <w:tc>
          <w:tcPr>
            <w:tcW w:w="9923" w:type="dxa"/>
          </w:tcPr>
          <w:p>
            <w:pPr>
              <w:jc w:val="center"/>
            </w:pPr>
            <w:r>
              <w:rPr>
                <w:sz w:val="20"/>
                <w:szCs w:val="20"/>
              </w:rPr>
              <w:t xml:space="preserve">  </w:t>
            </w:r>
          </w:p>
          <w:p>
            <w:pPr>
              <w:jc w:val="center"/>
            </w:pPr>
            <w:r>
              <w:rPr>
                <w:sz w:val="20"/>
                <w:szCs w:val="20"/>
              </w:rPr>
              <w:t xml:space="preserve">5. ПОРЯДОК ВОЗВРАТА И ОБМЕНА ТОВАРА</w:t>
            </w:r>
          </w:p>
        </w:tc>
      </w:tr>
      <w:tr>
        <w:trPr/>
        <w:tc>
          <w:tcPr>
            <w:tcW w:w="9923" w:type="dxa"/>
          </w:tcPr>
          <w:p>
            <w:pPr>
              <w:rPr/>
            </w:pPr>
          </w:p>
        </w:tc>
      </w:tr>
      <w:tr>
        <w:trPr/>
        <w:tc>
          <w:tcPr>
            <w:tcW w:w="9923" w:type="dxa"/>
          </w:tcPr>
          <w:p>
            <w:pPr>
              <w:jc w:val="both"/>
            </w:pPr>
            <w:r>
              <w:rPr>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trPr/>
        <w:tc>
          <w:tcPr>
            <w:tcW w:w="9923" w:type="dxa"/>
          </w:tcPr>
          <w:p>
            <w:pPr>
              <w:jc w:val="both"/>
            </w:pPr>
            <w:r>
              <w:rPr>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trPr/>
        <w:tc>
          <w:tcPr>
            <w:tcW w:w="9923" w:type="dxa"/>
          </w:tcPr>
          <w:p>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trPr/>
        <w:tc>
          <w:tcPr>
            <w:tcW w:w="9923" w:type="dxa"/>
          </w:tcPr>
          <w:p>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trPr/>
        <w:tc>
          <w:tcPr>
            <w:tcW w:w="9923" w:type="dxa"/>
          </w:tcPr>
          <w:p>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pPr>
        <w:rPr/>
      </w:pPr>
    </w:p>
    <w:tbl>
      <w:tblGrid>
        <w:gridCol w:w="9923" w:type="dxa"/>
      </w:tblGrid>
      <w:tblPr>
        <w:tblStyle w:val="TableStyle0"/>
      </w:tblPr>
      <w:tr>
        <w:trPr>
          <w:cantSplit w:val="1"/>
        </w:trPr>
        <w:tc>
          <w:tcPr>
            <w:tcW w:w="9923" w:type="dxa"/>
            <w:vAlign w:val="bottom"/>
            <w:shd w:val="clear" w:fill="auto"/>
          </w:tcPr>
          <w:p>
            <w:pPr>
              <w:jc w:val="center"/>
            </w:pPr>
            <w:r>
              <w:rPr>
                <w:sz w:val="20"/>
                <w:szCs w:val="20"/>
              </w:rPr>
              <w:t xml:space="preserve">6. ОТВЕТСТВЕННОСТЬ СТОРОН</w:t>
            </w:r>
          </w:p>
        </w:tc>
      </w:tr>
      <w:tr>
        <w:trPr>
          <w:cantSplit w:val="1"/>
        </w:trPr>
        <w:tc>
          <w:tcPr>
            <w:tcW w:w="9923" w:type="dxa"/>
            <w:vAlign w:val="bottom"/>
            <w:shd w:val="clear" w:fill="auto"/>
          </w:tcPr>
          <w:p>
            <w:pPr>
              <w:rPr/>
            </w:pPr>
          </w:p>
        </w:tc>
      </w:tr>
      <w:tr>
        <w:trPr>
          <w:cantSplit w:val="1"/>
        </w:trPr>
        <w:tc>
          <w:tcPr>
            <w:tcW w:w="9923" w:type="dxa"/>
            <w:vAlign w:val="bottom"/>
            <w:shd w:val="clear" w:fill="auto"/>
          </w:tcPr>
          <w:p>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trPr>
          <w:cantSplit w:val="1"/>
        </w:trPr>
        <w:tc>
          <w:tcPr>
            <w:tcW w:w="9923" w:type="dxa"/>
            <w:vAlign w:val="bottom"/>
            <w:shd w:val="clear" w:fill="auto"/>
          </w:tcPr>
          <w:p>
            <w:pPr>
              <w:jc w:val="both"/>
            </w:pPr>
            <w:r>
              <w:rPr>
                <w:sz w:val="20"/>
                <w:szCs w:val="20"/>
              </w:rPr>
              <w:t xml:space="preserve">    6.2. За нарушение срока поставки Товара, Поставщик уплачивает Покупателю пени в размере 0,2 % от стоимости </w:t>
            </w:r>
            <w:r>
              <w:rPr>
                <w:sz w:val="20"/>
                <w:szCs w:val="20"/>
              </w:rPr>
              <w:t xml:space="preserve">не поставленного</w:t>
            </w:r>
            <w:r>
              <w:rPr>
                <w:sz w:val="20"/>
                <w:szCs w:val="20"/>
              </w:rPr>
              <w:t xml:space="preserve"> товара за каждый день просрочки.</w:t>
            </w:r>
          </w:p>
        </w:tc>
      </w:tr>
      <w:tr>
        <w:trPr>
          <w:cantSplit w:val="1"/>
        </w:trPr>
        <w:tc>
          <w:tcPr>
            <w:tcW w:w="9923" w:type="dxa"/>
            <w:vAlign w:val="bottom"/>
            <w:shd w:val="clear" w:fill="auto"/>
          </w:tcPr>
          <w:p>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trPr>
          <w:cantSplit w:val="1"/>
        </w:trPr>
        <w:tc>
          <w:tcPr>
            <w:tcW w:w="9923" w:type="dxa"/>
            <w:vAlign w:val="bottom"/>
            <w:shd w:val="clear" w:fill="auto"/>
          </w:tcPr>
          <w:p>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trPr>
          <w:cantSplit w:val="1"/>
        </w:trPr>
        <w:tc>
          <w:tcPr>
            <w:tcW w:w="9923" w:type="dxa"/>
            <w:vAlign w:val="bottom"/>
            <w:shd w:val="clear" w:fill="auto"/>
          </w:tcPr>
          <w:p>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trPr>
          <w:cantSplit w:val="1"/>
        </w:trPr>
        <w:tc>
          <w:tcPr>
            <w:tcW w:w="9923" w:type="dxa"/>
            <w:vAlign w:val="bottom"/>
            <w:shd w:val="clear" w:fill="auto"/>
          </w:tcPr>
          <w:p>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trPr/>
        <w:tc>
          <w:tcPr>
            <w:tcW w:w="9923" w:type="dxa"/>
          </w:tcPr>
          <w:p>
            <w:pPr>
              <w:jc w:val="center"/>
            </w:pPr>
            <w:r>
              <w:rPr>
                <w:sz w:val="20"/>
                <w:szCs w:val="20"/>
              </w:rPr>
              <w:t xml:space="preserve">7. ИЗМЕНЕНИЕ И РАСТОРЖЕНИЕ ДОГОВОРА</w:t>
            </w:r>
          </w:p>
        </w:tc>
      </w:tr>
      <w:tr>
        <w:trPr/>
        <w:tc>
          <w:tcPr>
            <w:tcW w:w="9923" w:type="dxa"/>
          </w:tcPr>
          <w:p>
            <w:pPr>
              <w:rPr/>
            </w:pPr>
          </w:p>
        </w:tc>
      </w:tr>
      <w:tr>
        <w:trPr/>
        <w:tc>
          <w:tcPr>
            <w:tcW w:w="9923" w:type="dxa"/>
          </w:tcPr>
          <w:p>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trPr/>
        <w:tc>
          <w:tcPr>
            <w:tcW w:w="9923" w:type="dxa"/>
          </w:tcPr>
          <w:p>
            <w:pPr>
              <w:jc w:val="both"/>
            </w:pPr>
            <w:r>
              <w:rPr>
                <w:sz w:val="20"/>
                <w:szCs w:val="20"/>
              </w:rPr>
              <w:t xml:space="preserve">    7.2. Настоящий договор действует с момента его</w:t>
            </w:r>
            <w:r>
              <w:rPr>
                <w:sz w:val="20"/>
                <w:szCs w:val="20"/>
              </w:rPr>
              <w:t xml:space="preserve"> подписания и до 31 декабря 2025</w:t>
            </w:r>
            <w:r>
              <w:rPr>
                <w:sz w:val="20"/>
                <w:szCs w:val="20"/>
              </w:rPr>
              <w:t xml:space="preserve">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trPr/>
        <w:tc>
          <w:tcPr>
            <w:tcW w:w="9923" w:type="dxa"/>
          </w:tcPr>
          <w:p>
            <w:pPr>
              <w:rPr/>
            </w:pPr>
          </w:p>
        </w:tc>
      </w:tr>
      <w:tr>
        <w:trPr/>
        <w:tc>
          <w:tcPr>
            <w:tcW w:w="9923" w:type="dxa"/>
          </w:tcPr>
          <w:p>
            <w:pPr>
              <w:jc w:val="center"/>
            </w:pPr>
            <w:r>
              <w:rPr>
                <w:sz w:val="20"/>
                <w:szCs w:val="20"/>
              </w:rPr>
              <w:t xml:space="preserve">8. ФОРС-МАЖОР</w:t>
            </w:r>
          </w:p>
        </w:tc>
      </w:tr>
      <w:tr>
        <w:trPr/>
        <w:tc>
          <w:tcPr>
            <w:tcW w:w="9923" w:type="dxa"/>
          </w:tcPr>
          <w:p>
            <w:pPr>
              <w:rPr/>
            </w:pPr>
          </w:p>
        </w:tc>
      </w:tr>
      <w:tr>
        <w:trPr/>
        <w:tc>
          <w:tcPr>
            <w:tcW w:w="9923" w:type="dxa"/>
          </w:tcPr>
          <w:p>
            <w:pPr>
              <w:jc w:val="both"/>
            </w:pPr>
            <w:r>
              <w:rPr>
                <w:sz w:val="20"/>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trPr/>
        <w:tc>
          <w:tcPr>
            <w:tcW w:w="9923" w:type="dxa"/>
          </w:tcPr>
          <w:p>
            <w:pPr>
              <w:jc w:val="both"/>
            </w:pPr>
            <w:r>
              <w:rPr>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p>
            <w:pPr>
              <w:jc w:val="both"/>
            </w:pPr>
            <w:r>
              <w:rPr>
                <w:sz w:val="20"/>
                <w:szCs w:val="20"/>
              </w:rPr>
              <w:t xml:space="preserve">    8.3. </w:t>
            </w:r>
            <w:r>
              <w:rPr>
                <w:sz w:val="20"/>
                <w:szCs w:val="20"/>
              </w:rPr>
              <w:t xml:space="preserve">Покупатель подтверждает отсутствие претензий к Поставщику в течение </w:t>
            </w:r>
            <w:r>
              <w:rPr>
                <w:sz w:val="20"/>
                <w:szCs w:val="20"/>
              </w:rPr>
              <w:t xml:space="preserve">трех недель</w:t>
            </w:r>
            <w:r>
              <w:rPr>
                <w:sz w:val="20"/>
                <w:szCs w:val="20"/>
              </w:rPr>
              <w:t xml:space="preserve"> с момента поставки товара</w:t>
            </w:r>
            <w:r>
              <w:rPr>
                <w:sz w:val="20"/>
                <w:szCs w:val="20"/>
              </w:rPr>
              <w:t xml:space="preserve">.</w:t>
            </w:r>
          </w:p>
        </w:tc>
      </w:tr>
      <w:tr>
        <w:trPr/>
        <w:tc>
          <w:tcPr>
            <w:tcW w:w="9923" w:type="dxa"/>
          </w:tcPr>
          <w:p/>
        </w:tc>
      </w:tr>
      <w:tr>
        <w:trPr/>
        <w:tc>
          <w:tcPr>
            <w:tcW w:w="9923" w:type="dxa"/>
          </w:tcPr>
          <w:p>
            <w:pPr>
              <w:jc w:val="center"/>
            </w:pPr>
            <w:r>
              <w:rPr>
                <w:sz w:val="20"/>
                <w:szCs w:val="20"/>
              </w:rPr>
              <w:t xml:space="preserve">9. ПРОЧИЕ УСЛОВИЯ</w:t>
            </w:r>
          </w:p>
        </w:tc>
      </w:tr>
      <w:tr>
        <w:trPr/>
        <w:tc>
          <w:tcPr>
            <w:tcW w:w="9923" w:type="dxa"/>
          </w:tcPr>
          <w:p>
            <w:pPr>
              <w:rPr/>
            </w:pPr>
          </w:p>
        </w:tc>
      </w:tr>
      <w:tr>
        <w:trPr>
          <w:trHeight w:val="675" w:hRule="atLeast"/>
        </w:trPr>
        <w:tc>
          <w:tcPr>
            <w:tcW w:w="9923" w:type="dxa"/>
          </w:tcPr>
          <w:p>
            <w:pPr>
              <w:jc w:val="both"/>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pPr>
              <w:rPr/>
            </w:pPr>
          </w:p>
        </w:tc>
      </w:tr>
      <w:tr>
        <w:trPr/>
        <w:tc>
          <w:tcPr>
            <w:tcW w:w="9923" w:type="dxa"/>
          </w:tcPr>
          <w:p>
            <w:pPr>
              <w:rPr/>
            </w:pPr>
          </w:p>
          <w:p>
            <w:pPr>
              <w:jc w:val="center"/>
            </w:pPr>
            <w:r>
              <w:rPr>
                <w:sz w:val="20"/>
                <w:szCs w:val="20"/>
              </w:rPr>
              <w:t xml:space="preserve">10. АДРЕСА И ПЛАТЕЖНЫЕ РЕКВИЗИТЫ СТОРОН:</w:t>
            </w:r>
          </w:p>
          <w:p>
            <w:pPr>
              <w:rPr/>
            </w:pPr>
          </w:p>
        </w:tc>
      </w:tr>
    </w:tbl>
    <w:tbl>
      <w:tblGrid>
        <w:gridCol w:w="4807" w:type="dxa"/>
        <w:gridCol w:w="5008" w:type="dxa"/>
      </w:tblGrid>
      <w:tblPr>
        <w:tblW w:w="0" w:type="auto"/>
        <w:tblInd w:w="108" w:type="dxa"/>
        <w:tblLayout w:type="autofit"/>
        <w:bidiVisual w:val="0"/>
      </w:tblPr>
      <w:tr>
        <w:trPr>
          <w:trHeight w:val="4524" w:hRule="atLeast"/>
        </w:trPr>
        <w:tc>
          <w:tcPr>
            <w:tcW w:w="4807" w:type="dxa"/>
            <w:shd w:val="clear" w:fill="auto"/>
          </w:tcPr>
          <w:p>
            <w:pPr/>
            <w:r>
              <w:rPr>
                <w:sz w:val="18"/>
                <w:szCs w:val="18"/>
              </w:rPr>
              <w:t xml:space="preserve">Продавец:</w:t>
            </w:r>
          </w:p>
          <w:p>
            <w:pPr/>
            <w:r>
              <w:rPr>
                <w:sz w:val="18"/>
                <w:szCs w:val="18"/>
              </w:rPr>
              <w:t xml:space="preserve">ИП Пальчиков </w:t>
            </w:r>
            <w:r>
              <w:rPr>
                <w:sz w:val="18"/>
                <w:szCs w:val="18"/>
              </w:rPr>
              <w:t xml:space="preserve">Павел Сергеевич</w:t>
            </w:r>
          </w:p>
          <w:p>
            <w:pPr/>
            <w:r>
              <w:rPr>
                <w:sz w:val="18"/>
                <w:szCs w:val="18"/>
              </w:rPr>
              <w:t xml:space="preserve">ИНН </w:t>
            </w:r>
            <w:r>
              <w:rPr>
                <w:sz w:val="18"/>
                <w:szCs w:val="18"/>
              </w:rPr>
              <w:t xml:space="preserve">745211550208</w:t>
            </w:r>
          </w:p>
          <w:p>
            <w:pPr/>
            <w:r>
              <w:rPr>
                <w:sz w:val="18"/>
                <w:szCs w:val="18"/>
              </w:rPr>
              <w:t xml:space="preserve">КПП 0</w:t>
            </w:r>
          </w:p>
          <w:p>
            <w:pPr/>
            <w:r>
              <w:rPr>
                <w:sz w:val="18"/>
                <w:szCs w:val="18"/>
              </w:rPr>
              <w:t xml:space="preserve">454008, г. Челябинск, ул. Островского, д.13А, кв. 78.</w:t>
            </w:r>
          </w:p>
          <w:p>
            <w:pPr/>
            <w:r>
              <w:rPr>
                <w:sz w:val="18"/>
                <w:szCs w:val="18"/>
              </w:rPr>
              <w:t xml:space="preserve">р/с </w:t>
            </w:r>
            <w:r>
              <w:rPr>
                <w:sz w:val="18"/>
                <w:szCs w:val="18"/>
              </w:rPr>
              <w:t xml:space="preserve">40802810170010228524</w:t>
            </w:r>
          </w:p>
          <w:p>
            <w:pPr/>
            <w:r>
              <w:rPr>
                <w:sz w:val="18"/>
                <w:szCs w:val="18"/>
              </w:rPr>
              <w:t xml:space="preserve">к/с </w:t>
            </w:r>
            <w:r>
              <w:rPr>
                <w:sz w:val="18"/>
                <w:szCs w:val="18"/>
              </w:rPr>
              <w:t xml:space="preserve">30101810645250000092</w:t>
            </w:r>
          </w:p>
          <w:p>
            <w:pPr/>
            <w:r>
              <w:rPr>
                <w:sz w:val="18"/>
                <w:szCs w:val="18"/>
              </w:rPr>
              <w:t xml:space="preserve">МОСКОВСКИЙ ФИЛИАЛ АО КБ "МОДУЛЬБАНК", г. Москва </w:t>
            </w:r>
            <w:r>
              <w:rPr>
                <w:sz w:val="18"/>
                <w:szCs w:val="18"/>
              </w:rPr>
              <w:t xml:space="preserve">БИК 040702615</w:t>
            </w:r>
          </w:p>
          <w:p>
            <w:pPr/>
            <w:r>
              <w:rPr>
                <w:sz w:val="18"/>
                <w:szCs w:val="18"/>
              </w:rPr>
              <w:t xml:space="preserve">БИК 044525092</w:t>
            </w:r>
          </w:p>
          <w:p>
            <w:pPr>
              <w:rPr/>
            </w:pPr>
          </w:p>
          <w:p>
            <w:pPr/>
            <w:r>
              <w:rPr>
                <w:sz w:val="18"/>
                <w:szCs w:val="18"/>
              </w:rPr>
              <w:t xml:space="preserve">Генеральный директор</w:t>
            </w:r>
          </w:p>
          <w:p>
            <w:pPr>
              <w:rPr/>
            </w:pPr>
          </w:p>
          <w:p>
            <w:pPr/>
            <w:r>
              <w:rPr>
                <w:sz w:val="18"/>
                <w:szCs w:val="18"/>
              </w:rPr>
              <w:t xml:space="preserve">_____________________ / Пальчиков П.С. /</w:t>
            </w:r>
          </w:p>
          <w:p>
            <w:pPr/>
            <w:r>
              <w:rPr>
                <w:sz w:val="18"/>
                <w:szCs w:val="18"/>
              </w:rPr>
              <w:t xml:space="preserve">м.п</w:t>
            </w:r>
            <w:r>
              <w:rPr>
                <w:sz w:val="18"/>
                <w:szCs w:val="18"/>
              </w:rPr>
              <w:t xml:space="preserve">.</w:t>
            </w:r>
          </w:p>
          <w:p>
            <w:pPr>
              <w:rPr/>
            </w:pPr>
          </w:p>
        </w:tc>
        <w:tc>
          <w:tcPr>
            <w:tcW w:w="5008" w:type="dxa"/>
            <w:shd w:val="clear" w:fill="auto"/>
          </w:tcPr>
          <w:p>
            <w:pPr/>
            <w:r>
              <w:rPr>
                <w:sz w:val="18"/>
                <w:szCs w:val="18"/>
              </w:rPr>
              <w:t xml:space="preserve">Покупатель:</w:t>
            </w:r>
          </w:p>
          <w:p>
            <w:pPr/>
            <w:r>
              <w:rPr>
                <w:sz w:val="18"/>
                <w:szCs w:val="18"/>
              </w:rPr>
              <w:t xml:space="preserve">ООО "Тепло </w:t>
            </w:r>
            <w:r>
              <w:rPr>
                <w:sz w:val="18"/>
                <w:szCs w:val="18"/>
              </w:rPr>
              <w:t xml:space="preserve">Энерго</w:t>
            </w:r>
            <w:r>
              <w:rPr>
                <w:sz w:val="18"/>
                <w:szCs w:val="18"/>
              </w:rPr>
              <w:t xml:space="preserve"> Сети"</w:t>
            </w:r>
          </w:p>
          <w:p>
            <w:pPr/>
            <w:r>
              <w:rPr>
                <w:sz w:val="18"/>
                <w:szCs w:val="18"/>
              </w:rPr>
              <w:t xml:space="preserve">ИНН 0916011716</w:t>
            </w:r>
          </w:p>
          <w:p>
            <w:pPr/>
            <w:r>
              <w:rPr>
                <w:sz w:val="18"/>
                <w:szCs w:val="18"/>
              </w:rPr>
              <w:t xml:space="preserve">КПП 091601001</w:t>
            </w:r>
          </w:p>
          <w:p>
            <w:pPr/>
            <w:r>
              <w:rPr>
                <w:sz w:val="18"/>
                <w:szCs w:val="18"/>
              </w:rPr>
              <w:t xml:space="preserve">369200, Карачаево-Черкесская </w:t>
            </w:r>
            <w:r>
              <w:rPr>
                <w:sz w:val="18"/>
                <w:szCs w:val="18"/>
              </w:rPr>
              <w:t xml:space="preserve">респ</w:t>
            </w:r>
            <w:r>
              <w:rPr>
                <w:sz w:val="18"/>
                <w:szCs w:val="18"/>
              </w:rPr>
              <w:t xml:space="preserve">, Карачаевск г, </w:t>
            </w:r>
            <w:r>
              <w:rPr>
                <w:sz w:val="18"/>
                <w:szCs w:val="18"/>
              </w:rPr>
              <w:t xml:space="preserve">Курджиева</w:t>
            </w:r>
            <w:r>
              <w:rPr>
                <w:sz w:val="18"/>
                <w:szCs w:val="18"/>
              </w:rPr>
              <w:t xml:space="preserve"> </w:t>
            </w:r>
            <w:r>
              <w:rPr>
                <w:sz w:val="18"/>
                <w:szCs w:val="18"/>
              </w:rPr>
              <w:t xml:space="preserve">ул</w:t>
            </w:r>
            <w:r>
              <w:rPr>
                <w:sz w:val="18"/>
                <w:szCs w:val="18"/>
              </w:rPr>
              <w:t xml:space="preserve">, здание 1</w:t>
            </w:r>
          </w:p>
          <w:p>
            <w:pPr/>
            <w:r>
              <w:rPr>
                <w:sz w:val="18"/>
                <w:szCs w:val="18"/>
              </w:rPr>
              <w:t xml:space="preserve">р/с 40702810360310002289</w:t>
            </w:r>
          </w:p>
          <w:p>
            <w:pPr/>
            <w:r>
              <w:rPr>
                <w:sz w:val="18"/>
                <w:szCs w:val="18"/>
              </w:rPr>
              <w:t xml:space="preserve">к/с 30101810907020000615</w:t>
            </w:r>
          </w:p>
          <w:p>
            <w:pPr/>
            <w:r>
              <w:rPr>
                <w:sz w:val="18"/>
                <w:szCs w:val="18"/>
              </w:rPr>
              <w:t xml:space="preserve">СТАВРОПОЛЬСКОЕ ОТДЕЛЕНИЕ N5230 ПАО СБЕРБАНК</w:t>
            </w:r>
          </w:p>
          <w:p>
            <w:pPr/>
            <w:r>
              <w:rPr>
                <w:sz w:val="18"/>
                <w:szCs w:val="18"/>
              </w:rPr>
              <w:t xml:space="preserve">БИК 040702615</w:t>
            </w:r>
          </w:p>
          <w:p>
            <w:pPr>
              <w:rPr/>
            </w:pPr>
          </w:p>
          <w:p>
            <w:pPr/>
            <w:r>
              <w:rPr>
                <w:sz w:val="18"/>
                <w:szCs w:val="18"/>
              </w:rPr>
              <w:t xml:space="preserve">Генеральный директор</w:t>
            </w:r>
          </w:p>
          <w:p>
            <w:pPr>
              <w:rPr/>
            </w:pPr>
          </w:p>
          <w:p>
            <w:pPr/>
            <w:r>
              <w:rPr>
                <w:sz w:val="18"/>
                <w:szCs w:val="18"/>
              </w:rPr>
              <w:t xml:space="preserve">_____________________ / </w:t>
            </w:r>
            <w:r>
              <w:rPr>
                <w:sz w:val="18"/>
                <w:szCs w:val="18"/>
              </w:rPr>
              <w:t xml:space="preserve">Шорова</w:t>
            </w:r>
            <w:r>
              <w:rPr>
                <w:sz w:val="18"/>
                <w:szCs w:val="18"/>
              </w:rPr>
              <w:t xml:space="preserve"> Н.Н. /</w:t>
            </w:r>
          </w:p>
          <w:p>
            <w:pPr/>
            <w:r>
              <w:rPr>
                <w:sz w:val="18"/>
                <w:szCs w:val="18"/>
              </w:rPr>
              <w:t xml:space="preserve">м.п</w:t>
            </w:r>
            <w:r>
              <w:rPr>
                <w:sz w:val="18"/>
                <w:szCs w:val="18"/>
              </w:rPr>
              <w:t xml:space="preserve">.</w:t>
            </w: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p>
            <w:pPr>
              <w:rPr/>
            </w:pPr>
          </w:p>
        </w:tc>
      </w:tr>
    </w:tbl>
    <w:p>
      <w:pPr>
        <w:rPr/>
      </w:pPr>
    </w:p>
    <w:sectPr>
      <w:headerReference w:type="default" r:id="rId7"/>
      <w:pgSz w:orient="portrait" w:w="11906" w:h="16838"/>
      <w:pgMar w:top="426" w:right="566" w:bottom="851" w:left="1080" w:header="0" w:footer="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r>
      <w:pict>
        <v:shape type="#_x0000_t75" stroked="f" style="width:500pt; height:106.87830687831pt; margin-left:0pt; margin-top:0pt; position:absolute; mso-position-horizontal:left; mso-position-vertical:top; mso-position-horizontal-relative:char; mso-position-vertical-relative:line; z-index:2147483647;">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436787D"/>
    <w:multiLevelType w:val="multilevel"/>
    <w:lvl w:ilvl="0">
      <w:start w:val="1"/>
      <w:numFmt w:val="decimal"/>
      <w:suff w:val="tab"/>
      <w:lvlText w:val="%1."/>
      <w:lvlJc w:val="left"/>
      <w:pPr>
        <w:tabs>
          <w:tab w:val="num"/>
        </w:tabs>
        <w:ind/>
      </w:pPr>
      <w:rPr>
        <w:rFonts w:ascii="Times New Roman" w:hAnsi="Times New Roman" w:cs="Times New Roman"/>
      </w:rPr>
    </w:lvl>
    <w:lvl w:ilvl="1">
      <w:start w:val="1"/>
      <w:numFmt w:val="decimal"/>
      <w:suff w:val="tab"/>
      <w:lvlText w:val="%1.%2."/>
      <w:lvlJc w:val="left"/>
      <w:pPr>
        <w:tabs>
          <w:tab w:val="num"/>
        </w:tabs>
        <w:ind/>
      </w:pPr>
      <w:rPr>
        <w:rFonts w:ascii="Times New Roman" w:hAnsi="Times New Roman" w:cs="Times New Roman"/>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2">
    <w:nsid w:val="27C4E824"/>
    <w:multiLevelType w:val="multilevel"/>
    <w:lvl w:ilvl="0">
      <w:start w:val="1"/>
      <w:numFmt w:val="bullet"/>
      <w:suff w:val="tab"/>
      <w:lvlText w:val="•"/>
      <w:lvlJc w:val="left"/>
      <w:pPr>
        <w:tabs>
          <w:tab w:val="num"/>
        </w:tabs>
        <w:ind/>
      </w:pPr>
      <w:rPr>
        <w:rFonts w:ascii="Times New Roman" w:hAnsi="Times New Roman" w:cs="Times New Roman"/>
      </w:rPr>
    </w:lvl>
    <w:lvl w:ilvl="1">
      <w:start w:val="1"/>
      <w:numFmt w:val="decimal"/>
      <w:suff w:val="tab"/>
      <w:lvlJc w:val="left"/>
      <w:pPr>
        <w:tabs>
          <w:tab w:val="num"/>
        </w:tabs>
        <w:ind/>
      </w:pPr>
      <w:rPr>
        <w:rFonts/>
      </w:rPr>
    </w:lvl>
    <w:lvl w:ilvl="2">
      <w:start w:val="1"/>
      <w:numFmt w:val="decimal"/>
      <w:suff w:val="tab"/>
      <w:lvlJc w:val="left"/>
      <w:pPr>
        <w:tabs>
          <w:tab w:val="num"/>
        </w:tabs>
        <w:ind/>
      </w:pPr>
      <w:rPr>
        <w:rFonts/>
      </w:rPr>
    </w:lvl>
    <w:lvl w:ilvl="3">
      <w:start w:val="1"/>
      <w:numFmt w:val="decimal"/>
      <w:suff w:val="tab"/>
      <w:lvlJc w:val="left"/>
      <w:pPr>
        <w:tabs>
          <w:tab w:val="num"/>
        </w:tabs>
        <w:ind/>
      </w:pPr>
      <w:rPr>
        <w:rFonts/>
      </w:rPr>
    </w:lvl>
    <w:lvl w:ilvl="4">
      <w:start w:val="1"/>
      <w:numFmt w:val="decimal"/>
      <w:suff w:val="tab"/>
      <w:lvlJc w:val="left"/>
      <w:pPr>
        <w:tabs>
          <w:tab w:val="num"/>
        </w:tabs>
        <w:ind/>
      </w:pPr>
      <w:rPr>
        <w:rFonts/>
      </w:rPr>
    </w:lvl>
    <w:lvl w:ilvl="5">
      <w:start w:val="1"/>
      <w:numFmt w:val="decimal"/>
      <w:suff w:val="tab"/>
      <w:lvlJc w:val="left"/>
      <w:pPr>
        <w:tabs>
          <w:tab w:val="num"/>
        </w:tabs>
        <w:ind/>
      </w:pPr>
      <w:rPr>
        <w:rFonts/>
      </w:rPr>
    </w:lvl>
    <w:lvl w:ilvl="6">
      <w:start w:val="1"/>
      <w:numFmt w:val="decimal"/>
      <w:suff w:val="tab"/>
      <w:lvlJc w:val="left"/>
      <w:pPr>
        <w:tabs>
          <w:tab w:val="num"/>
        </w:tabs>
        <w:ind/>
      </w:pPr>
      <w:rPr>
        <w:rFonts/>
      </w:rPr>
    </w:lvl>
    <w:lvl w:ilvl="7">
      <w:start w:val="1"/>
      <w:numFmt w:val="decimal"/>
      <w:suff w:val="tab"/>
      <w:lvlJc w:val="left"/>
      <w:pPr>
        <w:tabs>
          <w:tab w:val="num"/>
        </w:tabs>
        <w:ind/>
      </w:pPr>
      <w:rPr>
        <w:rFonts/>
      </w:rPr>
    </w:lvl>
    <w:lvl w:ilvl="8">
      <w:start w:val="1"/>
      <w:numFmt w:val="decimal"/>
      <w:suff w:val="tab"/>
      <w:lvlJc w:val="left"/>
      <w:pPr>
        <w:tabs>
          <w:tab w:val="num"/>
        </w:tabs>
        <w:ind/>
      </w:pPr>
      <w:rPr>
        <w:rFonts/>
      </w:rPr>
    </w:lvl>
  </w:abstractNum>
  <w:abstractNum w:abstractNumId="3">
    <w:nsid w:val="F2D21995"/>
    <w:multiLevelType w:val="multilevel"/>
    <w:lvl w:ilvl="0">
      <w:start w:val="1"/>
      <w:numFmt w:val="decimal"/>
      <w:suff w:val="tab"/>
      <w:lvlText w:val="%1."/>
      <w:lvlJc w:val="left"/>
      <w:pPr>
        <w:tabs>
          <w:tab w:val="num"/>
        </w:tabs>
        <w:ind w:left="360" w:hanging="360"/>
      </w:pPr>
      <w:rPr>
        <w:rFonts w:hint="default"/>
      </w:rPr>
    </w:lvl>
    <w:lvl w:ilvl="1">
      <w:start w:val="1"/>
      <w:numFmt w:val="decimal"/>
      <w:suff w:val="tab"/>
      <w:lvlText w:val="%1.%2."/>
      <w:lvlJc w:val="left"/>
      <w:pPr>
        <w:tabs>
          <w:tab w:val="num"/>
        </w:tabs>
        <w:ind w:left="360" w:hanging="360"/>
      </w:pPr>
      <w:rPr>
        <w:rFonts w:hint="default"/>
      </w:rPr>
    </w:lvl>
    <w:lvl w:ilvl="2">
      <w:start w:val="1"/>
      <w:numFmt w:val="decimal"/>
      <w:suff w:val="tab"/>
      <w:lvlText w:val="%1.%2.%3."/>
      <w:lvlJc w:val="left"/>
      <w:pPr>
        <w:tabs>
          <w:tab w:val="num"/>
        </w:tabs>
        <w:ind w:left="720" w:hanging="720"/>
      </w:pPr>
      <w:rPr>
        <w:rFonts w:hint="default"/>
      </w:rPr>
    </w:lvl>
    <w:lvl w:ilvl="3">
      <w:start w:val="1"/>
      <w:numFmt w:val="decimal"/>
      <w:suff w:val="tab"/>
      <w:lvlText w:val="%1.%2.%3.%4."/>
      <w:lvlJc w:val="left"/>
      <w:pPr>
        <w:tabs>
          <w:tab w:val="num"/>
        </w:tabs>
        <w:ind w:left="720" w:hanging="720"/>
      </w:pPr>
      <w:rPr>
        <w:rFonts w:hint="default"/>
      </w:rPr>
    </w:lvl>
    <w:lvl w:ilvl="4">
      <w:start w:val="1"/>
      <w:numFmt w:val="decimal"/>
      <w:suff w:val="tab"/>
      <w:lvlText w:val="%1.%2.%3.%4.%5."/>
      <w:lvlJc w:val="left"/>
      <w:pPr>
        <w:tabs>
          <w:tab w:val="num"/>
        </w:tabs>
        <w:ind w:left="1080" w:hanging="1080"/>
      </w:pPr>
      <w:rPr>
        <w:rFonts w:hint="default"/>
      </w:rPr>
    </w:lvl>
    <w:lvl w:ilvl="5">
      <w:start w:val="1"/>
      <w:numFmt w:val="decimal"/>
      <w:suff w:val="tab"/>
      <w:lvlText w:val="%1.%2.%3.%4.%5.%6."/>
      <w:lvlJc w:val="left"/>
      <w:pPr>
        <w:tabs>
          <w:tab w:val="num"/>
        </w:tabs>
        <w:ind w:left="1080" w:hanging="1080"/>
      </w:pPr>
      <w:rPr>
        <w:rFonts w:hint="default"/>
      </w:rPr>
    </w:lvl>
    <w:lvl w:ilvl="6">
      <w:start w:val="1"/>
      <w:numFmt w:val="decimal"/>
      <w:suff w:val="tab"/>
      <w:lvlText w:val="%1.%2.%3.%4.%5.%6.%7."/>
      <w:lvlJc w:val="left"/>
      <w:pPr>
        <w:tabs>
          <w:tab w:val="num"/>
        </w:tabs>
        <w:ind w:left="1440" w:hanging="1440"/>
      </w:pPr>
      <w:rPr>
        <w:rFonts w:hint="default"/>
      </w:rPr>
    </w:lvl>
    <w:lvl w:ilvl="7">
      <w:start w:val="1"/>
      <w:numFmt w:val="decimal"/>
      <w:suff w:val="tab"/>
      <w:lvlText w:val="%1.%2.%3.%4.%5.%6.%7.%8."/>
      <w:lvlJc w:val="left"/>
      <w:pPr>
        <w:tabs>
          <w:tab w:val="num"/>
        </w:tabs>
        <w:ind w:left="1440" w:hanging="1440"/>
      </w:pPr>
      <w:rPr>
        <w:rFonts w:hint="default"/>
      </w:rPr>
    </w:lvl>
    <w:lvl w:ilvl="8">
      <w:start w:val="1"/>
      <w:numFmt w:val="decimal"/>
      <w:suff w:val="tab"/>
      <w:lvlText w:val="%1.%2.%3.%4.%5.%6.%7.%8.%9."/>
      <w:lvlJc w:val="left"/>
      <w:pPr>
        <w:tabs>
          <w:tab w:val="num"/>
        </w:tabs>
        <w:ind w:left="1800" w:hanging="1800"/>
      </w:pPr>
      <w:rPr>
        <w:rFonts w:hint="default"/>
      </w:rPr>
    </w:lvl>
  </w:abstractNum>
  <w:num w:numId="1">
    <w:abstractNumId w:val="1"/>
  </w:num>
  <w:num w:numId="2">
    <w:abstractNumId w:val="2"/>
  </w:num>
  <w:num w:numId="3">
    <w:abstractNumId w:val="3"/>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autoHyphenation w:val="true"/>
  <w:themeFontLang w:val="ru-RU" w:eastAsia="x-none" w:bidi="x-none"/>
  <w:proofState w:spelling="clean" w:grammar="clean"/>
  <w:zoom w:val="12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lang w:val="ru-RU"/>
      </w:rPr>
    </w:rPrDefault>
  </w:docDefaults>
  <w:style w:type="paragraph" w:default="1" w:styleId="Normal">
    <w:name w:val="Normal"/>
    <w:pPr>
      <w:suppressAutoHyphens/>
    </w:pPr>
  </w:style>
  <w:style w:type="character" w:styleId="FootnoteReference">
    <w:name w:val="Footnote Reference"/>
    <w:semiHidden/>
    <w:unhideWhenUsed/>
    <w:rPr>
      <w:vertAlign w:val="superscript"/>
    </w:rPr>
  </w:style>
  <w:style w:type="table" w:customStyle="1" w:styleId="Normal Table">
    <w:name w:val="Normal Table"/>
    <w:uiPriority w:val="99"/>
    <w:tblPr>
      <w:tblW w:w="0" w:type="auto"/>
      <w:tblInd w:w="0" w:type="dxa"/>
      <w:tblLayout w:type="autofit"/>
      <w:bidiVisual w:val="0"/>
      <w:tblCellMar>
        <w:top w:w="0" w:type="dxa"/>
        <w:left w:w="108" w:type="dxa"/>
        <w:right w:w="108" w:type="dxa"/>
        <w:bottom w:w="0" w:type="dxa"/>
      </w:tblCellMar>
    </w:tblPr>
  </w:style>
  <w:style w:type="character">
    <w:name w:val="Hyperlink"/>
    <w:rPr>
      <w:color w:val="000080"/>
      <w:u w:val="single"/>
    </w:rPr>
  </w:style>
  <w:style w:type="character">
    <w:name w:val="FollowedHyperlink"/>
    <w:rPr>
      <w:color w:val="000000"/>
      <w:strike w:val="0"/>
      <w:dstrike w:val="0"/>
    </w:rPr>
  </w:style>
  <w:style w:type="paragraph" w:styleId="Title">
    <w:name w:val="Title"/>
    <w:basedOn w:val="Normal"/>
    <w:pPr>
      <w:keepNext w:val="1"/>
      <w:spacing w:before="240" w:after="120"/>
    </w:pPr>
    <w:rPr>
      <w:rFonts w:ascii="Liberation Sans" w:hAnsi="Liberation Sans" w:eastAsia="Liberation Sans" w:cs="Liberation Sans"/>
      <w:sz w:val="28"/>
      <w:szCs w:val="28"/>
    </w:rPr>
  </w:style>
  <w:style w:type="paragraph" w:customStyle="1" w:styleId="Body Text">
    <w:name w:val="Body Text"/>
    <w:basedOn w:val="Normal"/>
    <w:pPr>
      <w:spacing w:after="140"/>
    </w:pPr>
  </w:style>
  <w:style w:type="character">
    <w:name w:val="List"/>
    <w:rPr>
      <w:rFonts w:ascii="Lucida Sans" w:hAnsi="Lucida Sans" w:eastAsia="Lucida Sans" w:cs="Lucida Sans"/>
    </w:rPr>
  </w:style>
  <w:style w:type="paragraph" w:styleId="caption">
    <w:name w:val="caption"/>
    <w:basedOn w:val="Normal"/>
    <w:pPr>
      <w:spacing w:before="120" w:after="120"/>
    </w:pPr>
    <w:rPr>
      <w:rFonts w:ascii="Lucida Sans" w:hAnsi="Lucida Sans" w:eastAsia="Lucida Sans" w:cs="Lucida Sans"/>
      <w:i w:val="1"/>
      <w:iCs w:val="1"/>
    </w:rPr>
  </w:style>
  <w:style w:type="paragraph" w:styleId="index heading">
    <w:name w:val="index heading"/>
    <w:basedOn w:val="Normal"/>
    <w:pPr/>
    <w:rPr>
      <w:rFonts w:ascii="Lucida Sans" w:hAnsi="Lucida Sans" w:eastAsia="Lucida Sans" w:cs="Lucida Sans"/>
    </w:rPr>
  </w:style>
  <w:style w:type="character">
    <w:name w:val="Основной текст_"/>
    <w:rPr>
      <w:rFonts w:ascii="Times New Roman" w:hAnsi="Times New Roman" w:eastAsia="Times New Roman" w:cs="Times New Roman"/>
      <w:sz w:val="18"/>
      <w:szCs w:val="18"/>
    </w:rPr>
  </w:style>
  <w:style w:type="paragraph" w:styleId="Основной текст1">
    <w:name w:val="Основной текст1"/>
    <w:basedOn w:val="Normal"/>
    <w:pPr/>
    <w:rPr>
      <w:sz w:val="18"/>
      <w:szCs w:val="18"/>
    </w:rPr>
  </w:style>
  <w:style w:type="paragraph" w:customStyle="1" w:styleId="List Paragraph">
    <w:name w:val="List Paragraph"/>
    <w:basedOn w:val="Normal"/>
    <w:pPr>
      <w:contextualSpacing/>
      <w:ind w:left="518400" w:right="0"/>
    </w:pPr>
  </w:style>
  <w:style w:type="character">
    <w:name w:val="Заголовок №1_"/>
    <w:rPr>
      <w:rFonts w:ascii="Times New Roman" w:hAnsi="Times New Roman" w:eastAsia="Times New Roman" w:cs="Times New Roman"/>
      <w:sz w:val="18"/>
      <w:szCs w:val="18"/>
      <w:b w:val="1"/>
      <w:bCs w:val="1"/>
    </w:rPr>
  </w:style>
  <w:style w:type="paragraph" w:styleId="Заголовок №1">
    <w:name w:val="Заголовок №1"/>
    <w:basedOn w:val="Normal"/>
    <w:pPr>
      <w:jc w:val="center"/>
    </w:pPr>
    <w:rPr>
      <w:sz w:val="18"/>
      <w:szCs w:val="18"/>
      <w:b w:val="1"/>
      <w:bCs w:val="1"/>
    </w:rPr>
  </w:style>
  <w:style w:type="character">
    <w:name w:val="Balloon Text"/>
    <w:rPr>
      <w:rFonts w:ascii="Segoe UI" w:hAnsi="Segoe UI" w:eastAsia="Segoe UI" w:cs="Segoe UI"/>
      <w:sz w:val="18"/>
      <w:szCs w:val="18"/>
    </w:rPr>
  </w:style>
  <w:style w:type="character">
    <w:name w:val="Текст выноски Знак"/>
    <w:rPr>
      <w:rFonts w:ascii="Segoe UI" w:hAnsi="Segoe UI" w:eastAsia="Segoe UI" w:cs="Segoe UI"/>
      <w:sz w:val="18"/>
      <w:szCs w:val="18"/>
    </w:rPr>
  </w:style>
  <w:style w:type="character">
    <w:name w:val="Абзац списка Знак"/>
    <w:rPr>
      <w:rFonts w:ascii="Times New Roman" w:hAnsi="Times New Roman" w:eastAsia="Times New Roman" w:cs="Times New Roman"/>
      <w:sz w:val="24"/>
      <w:szCs w:val="24"/>
    </w:rPr>
  </w:style>
  <w:style w:type="table" w:customStyle="1" w:styleId="TableStyle0">
    <w:name w:val="TableStyle0"/>
    <w:uiPriority w:val="99"/>
    <w:tblPr>
      <w:tblW w:w="0" w:type="auto"/>
      <w:tblLayout w:type="autofit"/>
      <w:bidiVisual w:val="0"/>
      <w:tblCellMar>
        <w:top w:w="0" w:type="dxa"/>
        <w:left w:w="0" w:type="dxa"/>
        <w:right w:w="0" w:type="dxa"/>
        <w:bottom w:w="0" w:type="dxa"/>
      </w:tblCellMar>
    </w:tblPr>
  </w:style>
  <w:style w:type="paragraph" w:customStyle="1" w:styleId="3204">
    <w:name w:val="3204"/>
    <w:basedOn w:val="Normal"/>
    <w:pPr>
      <w:spacing w:before="100" w:after="100"/>
    </w:pPr>
  </w:style>
  <w:style w:type="table" w:customStyle="1" w:styleId="Table Grid">
    <w:name w:val="Table Grid"/>
    <w:uiPriority w:val="99"/>
    <w:tblPr>
      <w:tblW w:w="0" w:type="auto"/>
      <w:tblLayout w:type="autofit"/>
      <w:bidiVisual w:val="0"/>
      <w:tblBorders>
        <w:top w:val="single" w:sz="4" w:color="auto"/>
        <w:left w:val="single" w:sz="4" w:color="auto"/>
        <w:right w:val="single" w:sz="4" w:color="auto"/>
        <w:bottom w:val="single" w:sz="4" w:color="auto"/>
        <w:insideH w:val="single" w:sz="4" w:color="auto"/>
        <w:insideV w:val="single" w:sz="4" w:color="auto"/>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header1_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dc:title/>
  <dc:description/>
  <dc:subject/>
  <cp:keywords/>
  <cp:category/>
  <cp:lastModifiedBy>Econ2</cp:lastModifiedBy>
  <dcterms:created xsi:type="dcterms:W3CDTF">2023-05-11T04:45:00+03:00</dcterms:created>
  <dcterms:modified xsi:type="dcterms:W3CDTF">2025-10-06T10:11:00+03:00</dcterms:modified>
</cp:coreProperties>
</file>

<file path=docProps/custom.xml><?xml version="1.0" encoding="utf-8"?>
<Properties xmlns="http://schemas.openxmlformats.org/officeDocument/2006/custom-properties" xmlns:vt="http://schemas.openxmlformats.org/officeDocument/2006/docPropsVTypes"/>
</file>